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7111" w14:textId="6BBD2F46" w:rsidR="00E748F6" w:rsidRPr="0058355C" w:rsidRDefault="00F921D5" w:rsidP="0058355C">
      <w:pPr>
        <w:pStyle w:val="Heading1"/>
        <w:spacing w:after="240"/>
        <w:rPr>
          <w:lang w:val="hr-HR"/>
        </w:rPr>
      </w:pPr>
      <w:r>
        <w:rPr>
          <w:lang w:val="hr-HR"/>
        </w:rPr>
        <w:t>Projekti Obzora Europa nacionaln</w:t>
      </w:r>
      <w:r w:rsidR="00082D02">
        <w:rPr>
          <w:lang w:val="hr-HR"/>
        </w:rPr>
        <w:t>ih</w:t>
      </w:r>
      <w:r>
        <w:rPr>
          <w:lang w:val="hr-HR"/>
        </w:rPr>
        <w:t xml:space="preserve"> osob</w:t>
      </w:r>
      <w:r w:rsidR="00082D02">
        <w:rPr>
          <w:lang w:val="hr-HR"/>
        </w:rPr>
        <w:t>a</w:t>
      </w:r>
      <w:r>
        <w:rPr>
          <w:lang w:val="hr-HR"/>
        </w:rPr>
        <w:t xml:space="preserve"> za kontakt </w:t>
      </w:r>
      <w:r w:rsidR="00F83A7B" w:rsidRPr="0058355C">
        <w:rPr>
          <w:lang w:val="hr-HR"/>
        </w:rPr>
        <w:t xml:space="preserve"> </w:t>
      </w:r>
    </w:p>
    <w:p w14:paraId="423B5604" w14:textId="1150FA14" w:rsidR="004C71C4" w:rsidRPr="000B164A" w:rsidRDefault="004C71C4" w:rsidP="004C71C4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b/>
          <w:bCs/>
          <w:color w:val="000000" w:themeColor="text1"/>
          <w:sz w:val="32"/>
          <w:szCs w:val="32"/>
        </w:rPr>
        <w:t xml:space="preserve">MSCA-NET </w:t>
      </w:r>
    </w:p>
    <w:p w14:paraId="376A746E" w14:textId="77777777" w:rsidR="00636F6B" w:rsidRDefault="00636F6B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749C4B4C" w14:textId="77777777" w:rsidR="00636F6B" w:rsidRDefault="004C71C4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Cilj projekta MSCA-NET je olakšati transnacionalnu suradnju između nacionalnih osoba za kontakt </w:t>
      </w:r>
      <w:r w:rsidRPr="000B164A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</w:rPr>
        <w:t>(</w:t>
      </w:r>
      <w:r w:rsidRPr="000B164A">
        <w:rPr>
          <w:rStyle w:val="spellingerror"/>
          <w:rFonts w:ascii="Nunito Sans" w:hAnsi="Nunito Sans" w:cs="Arial"/>
          <w:i/>
          <w:iCs/>
          <w:color w:val="000000" w:themeColor="text1"/>
          <w:sz w:val="32"/>
          <w:szCs w:val="32"/>
        </w:rPr>
        <w:t>NCPs</w:t>
      </w:r>
      <w:r w:rsidRPr="000B164A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</w:rPr>
        <w:t xml:space="preserve">) 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u </w:t>
      </w:r>
      <w:r w:rsidR="00153C7C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djelovanjima Marie Sk</w:t>
      </w:r>
      <w:r w:rsidR="00636F6B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ł</w:t>
      </w:r>
      <w:r w:rsidR="00153C7C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odowska-Curie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 kako bi se postigla dosljedna i usklađena razina podrške prijaviteljima. Osim razvoja podrške, u fokusu projekta je i podrška novoimenovanim nacionalnim osobama za kontakt iz zemalja proširenja i trećih zemalja. Na taj </w:t>
      </w:r>
      <w:r w:rsidR="00636F6B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se 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način namjerava osnažiti kapacitete nacionalnih sustava podrške prijaviteljima </w:t>
      </w:r>
      <w:r w:rsidR="00636F6B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MSCA-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projekata iz navedenih zemalja. Time se daje doprinos smanjenju jaza u istraživanju i inovacijama između država članica EU-a i pridruženih zemalja te zemalja proširenja i trećih zemalja. Posljedično, projektne bi aktivnosti trebale rezultirati većom kvalitetom i količinom prijava iz država koje nisu članice EU-a, odnosno pridruženih zemalja. </w:t>
      </w:r>
    </w:p>
    <w:p w14:paraId="794E519E" w14:textId="77777777" w:rsidR="00636F6B" w:rsidRDefault="00636F6B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795FA60D" w14:textId="218E3A2E" w:rsidR="004C71C4" w:rsidRPr="000B164A" w:rsidRDefault="004C71C4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U sklopu projekta provodit će se sljedeće aktivnosti: potpora razvoju karijera nacionalnih osoba za kontakt u obliku treninga, </w:t>
      </w:r>
      <w:r w:rsidRPr="000B164A">
        <w:rPr>
          <w:rStyle w:val="spellingerror"/>
          <w:rFonts w:ascii="Nunito Sans" w:hAnsi="Nunito Sans" w:cs="Arial"/>
          <w:i/>
          <w:iCs/>
          <w:color w:val="000000" w:themeColor="text1"/>
          <w:sz w:val="32"/>
          <w:szCs w:val="32"/>
        </w:rPr>
        <w:t>Twinninga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 i mentorstva, razvoj alata za nacionalne osobe za kontakt i znanstvenu zajednicu te strateški razvoj kapaciteta i stvaranje sinergije s i među </w:t>
      </w:r>
      <w:r w:rsidR="00636F6B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MSCA-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dionicima.</w:t>
      </w:r>
    </w:p>
    <w:p w14:paraId="2872C2B5" w14:textId="34EB28FA" w:rsidR="00A53038" w:rsidRDefault="00A53038" w:rsidP="004C71C4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125F8373" w14:textId="104E70B0" w:rsidR="00F921D5" w:rsidRPr="000B164A" w:rsidRDefault="00F921D5" w:rsidP="004C71C4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>
        <w:rPr>
          <w:rFonts w:ascii="Nunito Sans" w:hAnsi="Nunito Sans" w:cs="Arial"/>
          <w:color w:val="000000" w:themeColor="text1"/>
          <w:sz w:val="32"/>
          <w:szCs w:val="32"/>
        </w:rPr>
        <w:t>U ovom projektu sudjeluju nacionalne osobe za kontakt koje djeluju pri Agenciji za mobilnost i programe Europske unije.</w:t>
      </w:r>
    </w:p>
    <w:p w14:paraId="4961B629" w14:textId="0DC64E32" w:rsidR="00F83A7B" w:rsidRPr="000B164A" w:rsidRDefault="004C71C4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Agencija je uključena u provedbu aktivnosti u okviru tri radna paketa: 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WP2: Training,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Mentoring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and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Support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; WP3: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Tools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i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WP4: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Strategic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Capacity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 Development.</w:t>
      </w:r>
      <w:r w:rsidRPr="000B164A">
        <w:rPr>
          <w:rStyle w:val="eop"/>
          <w:rFonts w:ascii="Nunito Sans" w:hAnsi="Nunito Sans" w:cs="Arial"/>
          <w:color w:val="000000" w:themeColor="text1"/>
          <w:sz w:val="32"/>
          <w:szCs w:val="32"/>
        </w:rPr>
        <w:t xml:space="preserve"> U okviru svojih radnih paketa, Agencija pruža potporu novoimenovanim MSCA NCP-jevima kroz organizaciju kratkih sastanaka i te je zadužena za izradu i ažuriranje dokumenta </w:t>
      </w:r>
      <w:r w:rsidRPr="000B164A">
        <w:rPr>
          <w:rStyle w:val="eop"/>
          <w:rFonts w:ascii="Nunito Sans" w:hAnsi="Nunito Sans" w:cs="Arial"/>
          <w:i/>
          <w:iCs/>
          <w:color w:val="000000" w:themeColor="text1"/>
          <w:sz w:val="32"/>
          <w:szCs w:val="32"/>
        </w:rPr>
        <w:t>Newcomers Welcome Package</w:t>
      </w:r>
      <w:r w:rsidRPr="000B164A">
        <w:rPr>
          <w:rStyle w:val="eop"/>
          <w:rFonts w:ascii="Nunito Sans" w:hAnsi="Nunito Sans" w:cs="Arial"/>
          <w:color w:val="000000" w:themeColor="text1"/>
          <w:sz w:val="32"/>
          <w:szCs w:val="32"/>
        </w:rPr>
        <w:t xml:space="preserve">. </w:t>
      </w:r>
      <w:r w:rsidRPr="000B164A">
        <w:rPr>
          <w:rStyle w:val="eop"/>
          <w:rFonts w:ascii="Nunito Sans" w:hAnsi="Nunito Sans" w:cs="Arial"/>
          <w:color w:val="000000" w:themeColor="text1"/>
          <w:sz w:val="32"/>
          <w:szCs w:val="32"/>
        </w:rPr>
        <w:lastRenderedPageBreak/>
        <w:t xml:space="preserve">Također, Agencija je zadužena za izradu i ažuriranje dokumenta MSCA </w:t>
      </w:r>
      <w:r w:rsidRPr="000B164A">
        <w:rPr>
          <w:rStyle w:val="eop"/>
          <w:rFonts w:ascii="Nunito Sans" w:hAnsi="Nunito Sans" w:cs="Arial"/>
          <w:i/>
          <w:iCs/>
          <w:color w:val="000000" w:themeColor="text1"/>
          <w:sz w:val="32"/>
          <w:szCs w:val="32"/>
        </w:rPr>
        <w:t>Handbooks</w:t>
      </w:r>
      <w:r w:rsidRPr="000B164A">
        <w:rPr>
          <w:rStyle w:val="eop"/>
          <w:rFonts w:ascii="Nunito Sans" w:hAnsi="Nunito Sans" w:cs="Arial"/>
          <w:color w:val="000000" w:themeColor="text1"/>
          <w:sz w:val="32"/>
          <w:szCs w:val="32"/>
        </w:rPr>
        <w:t>, vodiče za raspis projektnih prijedloga za sve aktivnosti te priprema analizu rezultata evaluacija projektnih prijedloga. Uz navedeno, Agencija također organizira jedan projektni trening i zadužena je za evaluaciju projektnih treninga.</w:t>
      </w:r>
    </w:p>
    <w:p w14:paraId="5919269F" w14:textId="77777777" w:rsidR="00A53038" w:rsidRPr="000B164A" w:rsidRDefault="00A53038" w:rsidP="004C71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</w:p>
    <w:p w14:paraId="43D90E2A" w14:textId="2FABD75C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Projekt je započeo 1. ožujka 2022. godine, a planirano trajanje projekta je 36 mjeseci.</w:t>
      </w:r>
    </w:p>
    <w:p w14:paraId="3C56C182" w14:textId="77777777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</w:p>
    <w:p w14:paraId="5D0773B0" w14:textId="072389DD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Financijska vrijednost projekta je </w:t>
      </w:r>
      <w:r w:rsidR="00C44CD2" w:rsidRPr="000B164A">
        <w:rPr>
          <w:rFonts w:ascii="Nunito Sans" w:hAnsi="Nunito Sans" w:cs="Arial"/>
          <w:color w:val="000000" w:themeColor="text1"/>
          <w:sz w:val="32"/>
          <w:szCs w:val="32"/>
        </w:rPr>
        <w:t>1</w:t>
      </w:r>
      <w:r w:rsidR="00EA6E4D"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  <w:r w:rsidR="00C44CD2"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870.357,00 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eura, od čega je financijska vrijednost za AMPEU </w:t>
      </w:r>
      <w:r w:rsidR="00C44CD2" w:rsidRPr="000B164A">
        <w:rPr>
          <w:rFonts w:ascii="Nunito Sans" w:hAnsi="Nunito Sans" w:cs="Arial"/>
          <w:color w:val="000000" w:themeColor="text1"/>
          <w:sz w:val="32"/>
          <w:szCs w:val="32"/>
        </w:rPr>
        <w:t>74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  <w:r w:rsidR="00C44CD2" w:rsidRPr="000B164A">
        <w:rPr>
          <w:rFonts w:ascii="Nunito Sans" w:hAnsi="Nunito Sans" w:cs="Arial"/>
          <w:color w:val="000000" w:themeColor="text1"/>
          <w:sz w:val="32"/>
          <w:szCs w:val="32"/>
        </w:rPr>
        <w:t>937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,00 eura. </w:t>
      </w:r>
    </w:p>
    <w:p w14:paraId="276C0CBF" w14:textId="77777777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455C670B" w14:textId="685ABB91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Više informacija o projektu MSCA-NET nalazi se na mrežnoj stranici projekta </w:t>
      </w:r>
      <w:hyperlink r:id="rId8" w:history="1">
        <w:r w:rsidRPr="000B164A">
          <w:rPr>
            <w:rStyle w:val="Hyperlink"/>
            <w:rFonts w:ascii="Nunito Sans" w:hAnsi="Nunito Sans" w:cs="Arial"/>
            <w:sz w:val="32"/>
            <w:szCs w:val="32"/>
          </w:rPr>
          <w:t>https://msca-net.eu/</w:t>
        </w:r>
      </w:hyperlink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67AF8559" w14:textId="105C6EB1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55231ECE" w14:textId="13630A97" w:rsidR="00A53038" w:rsidRPr="000B164A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Nacionalna osoba za kontakt za ovaj projekt je Sandra Vidović, </w:t>
      </w:r>
      <w:hyperlink r:id="rId9" w:history="1">
        <w:r w:rsidRPr="000B164A">
          <w:rPr>
            <w:rStyle w:val="Hyperlink"/>
            <w:rFonts w:ascii="Nunito Sans" w:hAnsi="Nunito Sans" w:cs="Arial"/>
            <w:sz w:val="32"/>
            <w:szCs w:val="32"/>
          </w:rPr>
          <w:t>sandra.vidovic@ampeu.hr</w:t>
        </w:r>
      </w:hyperlink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4EAE5A67" w14:textId="77777777" w:rsidR="00F83A7B" w:rsidRDefault="00F83A7B" w:rsidP="00F83A7B">
      <w:pPr>
        <w:jc w:val="both"/>
        <w:rPr>
          <w:rFonts w:ascii="Arial" w:hAnsi="Arial" w:cs="Arial"/>
          <w:lang w:val="hr-HR"/>
        </w:rPr>
      </w:pPr>
    </w:p>
    <w:p w14:paraId="2ECAB807" w14:textId="07B1E8E6" w:rsidR="00C91B08" w:rsidRDefault="00C91B08" w:rsidP="00C91B08">
      <w:pPr>
        <w:jc w:val="center"/>
        <w:rPr>
          <w:rFonts w:ascii="Arial" w:hAnsi="Arial" w:cs="Arial"/>
          <w:lang w:val="hr-HR"/>
        </w:rPr>
      </w:pPr>
      <w:r w:rsidRPr="00C91B08">
        <w:rPr>
          <w:rFonts w:ascii="Arial" w:hAnsi="Arial" w:cs="Arial"/>
          <w:noProof/>
          <w:lang w:val="hr-HR"/>
        </w:rPr>
        <w:drawing>
          <wp:inline distT="0" distB="0" distL="0" distR="0" wp14:anchorId="000C7719" wp14:editId="178E6CF2">
            <wp:extent cx="2560542" cy="861135"/>
            <wp:effectExtent l="0" t="0" r="0" b="0"/>
            <wp:docPr id="1032896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96532" name=""/>
                    <pic:cNvPicPr/>
                  </pic:nvPicPr>
                  <pic:blipFill>
                    <a:blip r:embed="rId10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07D12" w14:textId="1E685EF6" w:rsidR="00C91B08" w:rsidRDefault="00C91B08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</w:p>
    <w:p w14:paraId="7AEA404E" w14:textId="77777777" w:rsidR="00C91B08" w:rsidRPr="0058355C" w:rsidRDefault="00C91B08" w:rsidP="00F83A7B">
      <w:pPr>
        <w:jc w:val="both"/>
        <w:rPr>
          <w:rFonts w:ascii="Arial" w:hAnsi="Arial" w:cs="Arial"/>
          <w:lang w:val="hr-HR"/>
        </w:rPr>
      </w:pPr>
    </w:p>
    <w:p w14:paraId="7AF1F1CA" w14:textId="2649D23F" w:rsidR="00F83A7B" w:rsidRPr="000B164A" w:rsidRDefault="00F83A7B" w:rsidP="00F83A7B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b/>
          <w:bCs/>
          <w:color w:val="000000" w:themeColor="text1"/>
          <w:sz w:val="32"/>
          <w:szCs w:val="32"/>
        </w:rPr>
        <w:t>NCP_WIDERA.NET</w:t>
      </w:r>
    </w:p>
    <w:p w14:paraId="0E499333" w14:textId="77777777" w:rsidR="00636F6B" w:rsidRDefault="00636F6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6F63F863" w14:textId="77777777" w:rsidR="00636F6B" w:rsidRDefault="00F83A7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Projekt </w:t>
      </w:r>
      <w:bookmarkStart w:id="0" w:name="_Hlk118805773"/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NCP_WIDERA.NET </w:t>
      </w:r>
      <w:bookmarkEnd w:id="0"/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obuhvaća aktivnosti nacionalnih osoba za kontakt u području Širenja sudjelovanja i Europskog istraživačkog prostora programa Obzor Europa. U sklopu projekta novoimenovanim nacionalnim osobama za kontakt bit će ponuđeni treninzi kako bi ojačale svoje kompetencije i time pružale optimalnu uslugu projektnim prijaviteljima. </w:t>
      </w:r>
    </w:p>
    <w:p w14:paraId="5E61FDC8" w14:textId="77777777" w:rsidR="00636F6B" w:rsidRDefault="00636F6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1492DCA8" w14:textId="693CD91C" w:rsidR="00636F6B" w:rsidRDefault="00636F6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Projekt uključuje i financiranje sudjelovanja zainteresiranih </w:t>
      </w:r>
      <w:r w:rsidR="00F83A7B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prijavitelja na događaje umrežavanja koji će biti organizirani po klasterima, a sve u svrhu jačanja sudjelovanja </w:t>
      </w:r>
      <w:r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sudionika iz </w:t>
      </w:r>
      <w:r w:rsidR="00F83A7B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zemalja</w:t>
      </w:r>
      <w:r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 širenja, u koje spada i Hrvatska</w:t>
      </w:r>
      <w:r w:rsidR="00F83A7B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. Republika Hrvatska </w:t>
      </w:r>
      <w:r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na ovakva događanja </w:t>
      </w:r>
      <w:r w:rsidR="00F83A7B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može poslati do 70 istraživača </w:t>
      </w:r>
      <w:r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i drugih relevantnih prijavitelja</w:t>
      </w:r>
      <w:r w:rsidR="00F83A7B"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. </w:t>
      </w:r>
    </w:p>
    <w:p w14:paraId="524FE132" w14:textId="77777777" w:rsidR="00636F6B" w:rsidRDefault="00636F6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2ED5DEF3" w14:textId="6127E382" w:rsidR="00F83A7B" w:rsidRPr="000B164A" w:rsidRDefault="00F83A7B" w:rsidP="00F8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Uz ovu mogućnost aktivnost </w:t>
      </w:r>
      <w:r w:rsidRPr="000B164A">
        <w:rPr>
          <w:rStyle w:val="normaltextrun"/>
          <w:rFonts w:ascii="Nunito Sans" w:eastAsia="SimSun" w:hAnsi="Nunito Sans" w:cs="Arial"/>
          <w:i/>
          <w:color w:val="000000" w:themeColor="text1"/>
          <w:sz w:val="32"/>
          <w:szCs w:val="32"/>
        </w:rPr>
        <w:t xml:space="preserve">Advanced Europe </w:t>
      </w:r>
      <w:r w:rsidRPr="000B164A">
        <w:rPr>
          <w:rStyle w:val="spellingerror"/>
          <w:rFonts w:ascii="Nunito Sans" w:hAnsi="Nunito Sans" w:cs="Arial"/>
          <w:i/>
          <w:color w:val="000000" w:themeColor="text1"/>
          <w:sz w:val="32"/>
          <w:szCs w:val="32"/>
        </w:rPr>
        <w:t>Package</w:t>
      </w: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 nudi sudjelovanje menadžera i istraživača u studijskim posjetima. Projektni partneri imaju mogućnost poslati do pet istraživača/menadžera na takvu aktivnost.</w:t>
      </w:r>
    </w:p>
    <w:p w14:paraId="7D7D3709" w14:textId="77777777" w:rsidR="006D26AD" w:rsidRDefault="006D26AD" w:rsidP="00F83A7B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014F017F" w14:textId="443DBBB3" w:rsidR="00F921D5" w:rsidRPr="000B164A" w:rsidRDefault="00F921D5" w:rsidP="00F83A7B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>
        <w:rPr>
          <w:rFonts w:ascii="Nunito Sans" w:hAnsi="Nunito Sans" w:cs="Arial"/>
          <w:color w:val="000000" w:themeColor="text1"/>
          <w:sz w:val="32"/>
          <w:szCs w:val="32"/>
        </w:rPr>
        <w:t>U ovom projektu sudjeluju nacionalne osobe za kontakt koje djeluju pri Agenciji za mobilnost i programe Europske unije.</w:t>
      </w:r>
    </w:p>
    <w:p w14:paraId="25C5FB28" w14:textId="568642D1" w:rsidR="00C44CD2" w:rsidRPr="000B164A" w:rsidRDefault="00F83A7B" w:rsidP="00C44CD2">
      <w:pPr>
        <w:spacing w:after="0" w:line="257" w:lineRule="auto"/>
        <w:jc w:val="both"/>
        <w:textAlignment w:val="baseline"/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</w:pPr>
      <w:r w:rsidRPr="000B164A">
        <w:rPr>
          <w:rStyle w:val="eop"/>
          <w:rFonts w:ascii="Nunito Sans" w:hAnsi="Nunito Sans" w:cs="Arial"/>
          <w:color w:val="000000" w:themeColor="text1"/>
          <w:sz w:val="32"/>
          <w:szCs w:val="32"/>
          <w:lang w:val="hr-HR"/>
        </w:rPr>
        <w:t>A</w:t>
      </w:r>
      <w:r w:rsidRPr="000B164A">
        <w:rPr>
          <w:rStyle w:val="eop"/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>gencija je uključena u provedbu aktivnosti u više radnih zadataka kao partner</w:t>
      </w:r>
      <w:r w:rsidRPr="000B164A">
        <w:rPr>
          <w:rStyle w:val="eop"/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 xml:space="preserve">: 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>1.3. Pre-screening standards and best practices (materials, guides, training plans for participants); 4.1. Publications How to apply under Widening instruments and Widening success stories; 4.2.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 xml:space="preserve"> 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>Organisation of Regional Mutual Learning Exercises (MLE) on Synergies and Synergy Workshops;</w:t>
      </w:r>
      <w:r w:rsidRPr="000B164A">
        <w:rPr>
          <w:rFonts w:ascii="Nunito Sans" w:eastAsia="Calibri" w:hAnsi="Nunito Sans" w:cs="Arial"/>
          <w:color w:val="000000" w:themeColor="text1"/>
          <w:sz w:val="32"/>
          <w:szCs w:val="32"/>
          <w:lang w:val="hr-HR"/>
        </w:rPr>
        <w:t xml:space="preserve"> 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 xml:space="preserve">5.1. NCP trainings focusing on Reforming ERA topics; 7.1. 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lastRenderedPageBreak/>
        <w:t xml:space="preserve">Communication Strategy; 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>te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 xml:space="preserve"> 8.1. Advancing Europe Package. 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 xml:space="preserve">Nadalje, u radnom zadatku </w:t>
      </w:r>
      <w:r w:rsidRPr="000B164A">
        <w:rPr>
          <w:rFonts w:ascii="Nunito Sans" w:eastAsia="Arial" w:hAnsi="Nunito Sans" w:cs="Arial"/>
          <w:i/>
          <w:iCs/>
          <w:color w:val="000000" w:themeColor="text1"/>
          <w:sz w:val="32"/>
          <w:szCs w:val="32"/>
          <w:lang w:val="hr-HR"/>
        </w:rPr>
        <w:t>7.3. Social Media and Feed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 xml:space="preserve"> Agencija je voditelj radnog zadatka, </w:t>
      </w:r>
      <w:r w:rsidR="004C71C4"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>u kojem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 xml:space="preserve"> razvija projektne društvene mreže (LinkedIn i </w:t>
      </w:r>
      <w:r w:rsidR="004C71C4"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>X</w:t>
      </w:r>
      <w:r w:rsidRPr="000B164A"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  <w:t>).</w:t>
      </w:r>
    </w:p>
    <w:p w14:paraId="52C7D013" w14:textId="77777777" w:rsidR="00C44CD2" w:rsidRPr="000B164A" w:rsidRDefault="00C44CD2" w:rsidP="00C44CD2">
      <w:pPr>
        <w:spacing w:after="0" w:line="257" w:lineRule="auto"/>
        <w:jc w:val="both"/>
        <w:textAlignment w:val="baseline"/>
        <w:rPr>
          <w:rFonts w:ascii="Nunito Sans" w:eastAsia="Arial" w:hAnsi="Nunito Sans" w:cs="Arial"/>
          <w:color w:val="000000" w:themeColor="text1"/>
          <w:sz w:val="32"/>
          <w:szCs w:val="32"/>
          <w:lang w:val="hr-HR"/>
        </w:rPr>
      </w:pPr>
    </w:p>
    <w:p w14:paraId="4067B21C" w14:textId="00027988" w:rsidR="00C44CD2" w:rsidRPr="000B164A" w:rsidRDefault="00C44CD2" w:rsidP="00C44CD2">
      <w:pPr>
        <w:spacing w:after="0" w:line="257" w:lineRule="auto"/>
        <w:jc w:val="both"/>
        <w:textAlignment w:val="baseline"/>
        <w:rPr>
          <w:rStyle w:val="eop"/>
          <w:rFonts w:ascii="Nunito Sans" w:eastAsia="Arial" w:hAnsi="Nunito Sans" w:cs="Arial"/>
          <w:color w:val="000000" w:themeColor="text1"/>
          <w:sz w:val="32"/>
          <w:szCs w:val="32"/>
          <w:lang w:val="hr-HR"/>
        </w:rPr>
      </w:pPr>
      <w:r w:rsidRPr="000B164A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>Projekt je započeo 1. travnja 2022. godine, a planirano trajanje projekta je 36 mjeseci.</w:t>
      </w:r>
    </w:p>
    <w:p w14:paraId="6528C24C" w14:textId="77777777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</w:p>
    <w:p w14:paraId="67B2CD8D" w14:textId="4362DE17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>Financijska vrijednost projekta je 8</w:t>
      </w:r>
      <w:r w:rsidR="00EA6E4D"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000.000,00 eura, od čega je financijska vrijednost za AMPEU </w:t>
      </w:r>
      <w:r w:rsidR="0058355C" w:rsidRPr="000B164A">
        <w:rPr>
          <w:rFonts w:ascii="Nunito Sans" w:hAnsi="Nunito Sans" w:cs="Arial"/>
          <w:color w:val="000000" w:themeColor="text1"/>
          <w:sz w:val="32"/>
          <w:szCs w:val="32"/>
        </w:rPr>
        <w:t>269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  <w:r w:rsidR="0058355C" w:rsidRPr="000B164A">
        <w:rPr>
          <w:rFonts w:ascii="Nunito Sans" w:hAnsi="Nunito Sans" w:cs="Arial"/>
          <w:color w:val="000000" w:themeColor="text1"/>
          <w:sz w:val="32"/>
          <w:szCs w:val="32"/>
        </w:rPr>
        <w:t>812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>,</w:t>
      </w:r>
      <w:r w:rsidR="0058355C" w:rsidRPr="000B164A">
        <w:rPr>
          <w:rFonts w:ascii="Nunito Sans" w:hAnsi="Nunito Sans" w:cs="Arial"/>
          <w:color w:val="000000" w:themeColor="text1"/>
          <w:sz w:val="32"/>
          <w:szCs w:val="32"/>
        </w:rPr>
        <w:t>5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0 eura. </w:t>
      </w:r>
    </w:p>
    <w:p w14:paraId="5184824C" w14:textId="77777777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638782E9" w14:textId="7051D019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Više informacija o projektu </w:t>
      </w:r>
      <w:r w:rsidR="00C91B08" w:rsidRPr="000B164A">
        <w:rPr>
          <w:rFonts w:ascii="Nunito Sans" w:hAnsi="Nunito Sans" w:cs="Arial"/>
          <w:color w:val="000000" w:themeColor="text1"/>
          <w:sz w:val="32"/>
          <w:szCs w:val="32"/>
        </w:rPr>
        <w:t>NCP_WIDERA.NET</w:t>
      </w: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 nalazi se na mrežnoj stranici projekta </w:t>
      </w:r>
      <w:hyperlink r:id="rId11" w:history="1">
        <w:r w:rsidR="0058355C" w:rsidRPr="000B164A">
          <w:rPr>
            <w:rStyle w:val="Hyperlink"/>
            <w:rFonts w:ascii="Nunito Sans" w:hAnsi="Nunito Sans" w:cs="Arial"/>
            <w:sz w:val="32"/>
            <w:szCs w:val="32"/>
          </w:rPr>
          <w:t>https://www.ncpwideranet.eu/</w:t>
        </w:r>
      </w:hyperlink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60B614A9" w14:textId="77777777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44438670" w14:textId="0B084351" w:rsidR="00C44CD2" w:rsidRPr="000B164A" w:rsidRDefault="00C44CD2" w:rsidP="00C44CD2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0B164A">
        <w:rPr>
          <w:rFonts w:ascii="Nunito Sans" w:hAnsi="Nunito Sans" w:cs="Arial"/>
          <w:color w:val="000000" w:themeColor="text1"/>
          <w:sz w:val="32"/>
          <w:szCs w:val="32"/>
        </w:rPr>
        <w:t xml:space="preserve">Nacionalna osoba za kontakt za ovaj projekt je Lucijano Jakšić, </w:t>
      </w:r>
      <w:hyperlink r:id="rId12" w:history="1">
        <w:r w:rsidR="0058355C" w:rsidRPr="000B164A">
          <w:rPr>
            <w:rStyle w:val="Hyperlink"/>
            <w:rFonts w:ascii="Nunito Sans" w:hAnsi="Nunito Sans" w:cs="Arial"/>
            <w:sz w:val="32"/>
            <w:szCs w:val="32"/>
          </w:rPr>
          <w:t>lucijano</w:t>
        </w:r>
        <w:r w:rsidRPr="000B164A">
          <w:rPr>
            <w:rStyle w:val="Hyperlink"/>
            <w:rFonts w:ascii="Nunito Sans" w:hAnsi="Nunito Sans" w:cs="Arial"/>
            <w:sz w:val="32"/>
            <w:szCs w:val="32"/>
          </w:rPr>
          <w:t>.</w:t>
        </w:r>
        <w:r w:rsidR="0058355C" w:rsidRPr="000B164A">
          <w:rPr>
            <w:rStyle w:val="Hyperlink"/>
            <w:rFonts w:ascii="Nunito Sans" w:hAnsi="Nunito Sans" w:cs="Arial"/>
            <w:sz w:val="32"/>
            <w:szCs w:val="32"/>
          </w:rPr>
          <w:t>jaksic</w:t>
        </w:r>
        <w:r w:rsidRPr="000B164A">
          <w:rPr>
            <w:rStyle w:val="Hyperlink"/>
            <w:rFonts w:ascii="Nunito Sans" w:hAnsi="Nunito Sans" w:cs="Arial"/>
            <w:sz w:val="32"/>
            <w:szCs w:val="32"/>
          </w:rPr>
          <w:t>@ampeu.hr</w:t>
        </w:r>
      </w:hyperlink>
      <w:r w:rsidRPr="000B164A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7CD988F2" w14:textId="77777777" w:rsidR="00C44CD2" w:rsidRDefault="00C44CD2" w:rsidP="00F83A7B">
      <w:pPr>
        <w:jc w:val="both"/>
        <w:rPr>
          <w:rFonts w:ascii="Arial" w:hAnsi="Arial" w:cs="Arial"/>
          <w:lang w:val="hr-HR"/>
        </w:rPr>
      </w:pPr>
    </w:p>
    <w:p w14:paraId="59E5A8ED" w14:textId="016777B7" w:rsidR="00C91B08" w:rsidRDefault="00C91B08" w:rsidP="00C91B08">
      <w:pPr>
        <w:jc w:val="center"/>
        <w:rPr>
          <w:rFonts w:ascii="Arial" w:hAnsi="Arial" w:cs="Arial"/>
          <w:lang w:val="hr-HR"/>
        </w:rPr>
      </w:pPr>
      <w:r w:rsidRPr="00C91B08">
        <w:rPr>
          <w:rFonts w:ascii="Arial" w:hAnsi="Arial" w:cs="Arial"/>
          <w:noProof/>
          <w:lang w:val="hr-HR"/>
        </w:rPr>
        <w:drawing>
          <wp:inline distT="0" distB="0" distL="0" distR="0" wp14:anchorId="796854BC" wp14:editId="2034F583">
            <wp:extent cx="2636748" cy="929721"/>
            <wp:effectExtent l="0" t="0" r="0" b="0"/>
            <wp:docPr id="3311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5990" name=""/>
                    <pic:cNvPicPr/>
                  </pic:nvPicPr>
                  <pic:blipFill>
                    <a:blip r:embed="rId13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3381" w14:textId="25D7B601" w:rsidR="00C91B08" w:rsidRDefault="00C91B08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</w:p>
    <w:p w14:paraId="5F6E0B8B" w14:textId="77777777" w:rsidR="00C91B08" w:rsidRPr="0058355C" w:rsidRDefault="00C91B08" w:rsidP="00F83A7B">
      <w:pPr>
        <w:jc w:val="both"/>
        <w:rPr>
          <w:rFonts w:ascii="Arial" w:hAnsi="Arial" w:cs="Arial"/>
          <w:lang w:val="hr-HR"/>
        </w:rPr>
      </w:pPr>
    </w:p>
    <w:p w14:paraId="5845704C" w14:textId="2D83EF86" w:rsidR="00F83A7B" w:rsidRPr="00DC2241" w:rsidRDefault="00F83A7B" w:rsidP="00F83A7B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Style w:val="normaltextrun"/>
          <w:rFonts w:ascii="Nunito Sans" w:eastAsia="SimSun" w:hAnsi="Nunito Sans" w:cs="Arial"/>
          <w:b/>
          <w:bCs/>
          <w:color w:val="000000" w:themeColor="text1"/>
          <w:sz w:val="32"/>
          <w:szCs w:val="32"/>
        </w:rPr>
        <w:t>ERA TALENT</w:t>
      </w:r>
    </w:p>
    <w:p w14:paraId="31D24699" w14:textId="77777777" w:rsidR="00636F6B" w:rsidRDefault="00636F6B" w:rsidP="0058355C">
      <w:pPr>
        <w:spacing w:after="0" w:line="257" w:lineRule="auto"/>
        <w:jc w:val="both"/>
        <w:textAlignment w:val="baseline"/>
        <w:rPr>
          <w:rFonts w:ascii="Nunito Sans" w:hAnsi="Nunito Sans" w:cs="Arial"/>
          <w:sz w:val="32"/>
          <w:szCs w:val="32"/>
          <w:lang w:val="hr-HR"/>
        </w:rPr>
      </w:pPr>
    </w:p>
    <w:p w14:paraId="60AADB73" w14:textId="38842E7A" w:rsidR="006D26AD" w:rsidRPr="00DC2241" w:rsidRDefault="00F83A7B" w:rsidP="0058355C">
      <w:pPr>
        <w:spacing w:after="0" w:line="257" w:lineRule="auto"/>
        <w:jc w:val="both"/>
        <w:textAlignment w:val="baseline"/>
        <w:rPr>
          <w:rFonts w:ascii="Nunito Sans" w:hAnsi="Nunito Sans" w:cs="Arial"/>
          <w:sz w:val="32"/>
          <w:szCs w:val="32"/>
          <w:lang w:val="hr-HR"/>
        </w:rPr>
      </w:pPr>
      <w:r w:rsidRPr="00DC2241">
        <w:rPr>
          <w:rFonts w:ascii="Nunito Sans" w:hAnsi="Nunito Sans" w:cs="Arial"/>
          <w:sz w:val="32"/>
          <w:szCs w:val="32"/>
          <w:lang w:val="hr-HR"/>
        </w:rPr>
        <w:t>Projekt ERA TALENT poduprijet će EURAXESS centre u pružanju specijaliziranih usluga upravljanja talentima kako bi se poboljšala zapošljivost i mobilnost talentiranih istraživača. Projektom će se uspostaviti pet tematskih “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hub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-ova”, svojevrsnih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“one-stop-shopova”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, koji će istraživačima omogućiti pronalaženje korisnih informacija u različitim područjima i šest zajednica praksi (tzv.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Community of Practices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 (CoP)) koje</w:t>
      </w:r>
      <w:r w:rsidR="00636F6B">
        <w:rPr>
          <w:rFonts w:ascii="Nunito Sans" w:hAnsi="Nunito Sans" w:cs="Arial"/>
          <w:sz w:val="32"/>
          <w:szCs w:val="32"/>
          <w:lang w:val="hr-HR"/>
        </w:rPr>
        <w:t xml:space="preserve"> će </w:t>
      </w:r>
      <w:r w:rsidRPr="00DC2241">
        <w:rPr>
          <w:rFonts w:ascii="Nunito Sans" w:hAnsi="Nunito Sans" w:cs="Arial"/>
          <w:sz w:val="32"/>
          <w:szCs w:val="32"/>
          <w:lang w:val="hr-HR"/>
        </w:rPr>
        <w:t>služiti kao platforma za razmjenu najboljih praksi administrativnom osoblju mreže EURAXESS. Projektom će se, također, poticati kultura poduzetništva te otvarati nove karijerne mogućnosti za istraživače u industriji i gospodarstvu.</w:t>
      </w:r>
    </w:p>
    <w:p w14:paraId="216658C8" w14:textId="77777777" w:rsidR="00F921D5" w:rsidRDefault="00F921D5" w:rsidP="00F921D5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60AFB720" w14:textId="22AC3E01" w:rsidR="0058355C" w:rsidRPr="00DC2241" w:rsidRDefault="00F83A7B" w:rsidP="0058355C">
      <w:pPr>
        <w:spacing w:after="0" w:line="257" w:lineRule="auto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</w:pPr>
      <w:r w:rsidRPr="00DC2241">
        <w:rPr>
          <w:rFonts w:ascii="Nunito Sans" w:hAnsi="Nunito Sans" w:cs="Arial"/>
          <w:sz w:val="32"/>
          <w:szCs w:val="32"/>
          <w:lang w:val="hr-HR"/>
        </w:rPr>
        <w:t xml:space="preserve">Agencija </w:t>
      </w:r>
      <w:r w:rsidR="00F921D5">
        <w:rPr>
          <w:rFonts w:ascii="Nunito Sans" w:hAnsi="Nunito Sans" w:cs="Arial"/>
          <w:sz w:val="32"/>
          <w:szCs w:val="32"/>
          <w:lang w:val="hr-HR"/>
        </w:rPr>
        <w:t xml:space="preserve">za mobilnost i programe Europske unije </w:t>
      </w:r>
      <w:r w:rsidRPr="00DC2241">
        <w:rPr>
          <w:rFonts w:ascii="Nunito Sans" w:hAnsi="Nunito Sans" w:cs="Arial"/>
          <w:sz w:val="32"/>
          <w:szCs w:val="32"/>
          <w:lang w:val="hr-HR"/>
        </w:rPr>
        <w:t>kao krovna organizacija nacionalne mreže EURAXESS sudjel</w:t>
      </w:r>
      <w:r w:rsidR="00636F6B">
        <w:rPr>
          <w:rFonts w:ascii="Nunito Sans" w:hAnsi="Nunito Sans" w:cs="Arial"/>
          <w:sz w:val="32"/>
          <w:szCs w:val="32"/>
          <w:lang w:val="hr-HR"/>
        </w:rPr>
        <w:t>uje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 u tri od šest radnih paketa</w:t>
      </w:r>
      <w:r w:rsidR="00636F6B">
        <w:rPr>
          <w:rFonts w:ascii="Nunito Sans" w:hAnsi="Nunito Sans" w:cs="Arial"/>
          <w:sz w:val="32"/>
          <w:szCs w:val="32"/>
          <w:lang w:val="hr-HR"/>
        </w:rPr>
        <w:t xml:space="preserve">. Riječ je o 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radnim paketima 1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Project Management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, 2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Communication, Dissemination and Exploitation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 i 4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Knowledge sharing for specialisation in the EURAXESS Network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. Unutar radnog paketa 4, Agencija će sudjelovati u radnom zadatku 4.1.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Communities of practice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 u okviru kojeg će partneri razmjenjivati praktična iskustva te provoditi ankete koje će poslužiti kao temelj za organizaciju događaja u radnome zadatku 4.2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Capacity building and networking</w:t>
      </w:r>
      <w:r w:rsidRPr="00DC2241">
        <w:rPr>
          <w:rFonts w:ascii="Nunito Sans" w:hAnsi="Nunito Sans" w:cs="Arial"/>
          <w:sz w:val="32"/>
          <w:szCs w:val="32"/>
          <w:lang w:val="hr-HR"/>
        </w:rPr>
        <w:t xml:space="preserve">, kao i studijskih posjeta u radnome zadatku 4.3 </w:t>
      </w:r>
      <w:r w:rsidRPr="00DC2241">
        <w:rPr>
          <w:rFonts w:ascii="Nunito Sans" w:hAnsi="Nunito Sans" w:cs="Arial"/>
          <w:i/>
          <w:iCs/>
          <w:sz w:val="32"/>
          <w:szCs w:val="32"/>
          <w:lang w:val="hr-HR"/>
        </w:rPr>
        <w:t>Knowledge exchange about the services in hubs</w:t>
      </w:r>
      <w:r w:rsidRPr="00DC2241">
        <w:rPr>
          <w:rFonts w:ascii="Nunito Sans" w:hAnsi="Nunito Sans" w:cs="Arial"/>
          <w:sz w:val="32"/>
          <w:szCs w:val="32"/>
          <w:lang w:val="hr-HR"/>
        </w:rPr>
        <w:t>.</w:t>
      </w:r>
    </w:p>
    <w:p w14:paraId="3C7342C4" w14:textId="77777777" w:rsidR="0058355C" w:rsidRPr="00DC2241" w:rsidRDefault="0058355C" w:rsidP="0058355C">
      <w:pPr>
        <w:spacing w:after="0" w:line="257" w:lineRule="auto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</w:pPr>
    </w:p>
    <w:p w14:paraId="665954BF" w14:textId="5DCBD371" w:rsidR="0058355C" w:rsidRPr="00DC2241" w:rsidRDefault="0058355C" w:rsidP="0058355C">
      <w:pPr>
        <w:spacing w:after="0" w:line="257" w:lineRule="auto"/>
        <w:jc w:val="both"/>
        <w:textAlignment w:val="baseline"/>
        <w:rPr>
          <w:rStyle w:val="eop"/>
          <w:rFonts w:ascii="Nunito Sans" w:eastAsia="Arial" w:hAnsi="Nunito Sans" w:cs="Arial"/>
          <w:color w:val="000000" w:themeColor="text1"/>
          <w:sz w:val="32"/>
          <w:szCs w:val="32"/>
          <w:lang w:val="hr-HR"/>
        </w:rPr>
      </w:pPr>
      <w:r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>Projekt je započeo 1. ožujka 2023. godine, a planirano trajanje projekta je 36 mjeseci.</w:t>
      </w:r>
    </w:p>
    <w:p w14:paraId="0C151BBA" w14:textId="77777777" w:rsidR="0058355C" w:rsidRPr="00DC2241" w:rsidRDefault="0058355C" w:rsidP="005835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Nunito Sans" w:hAnsi="Nunito Sans" w:cs="Arial"/>
          <w:color w:val="000000" w:themeColor="text1"/>
          <w:sz w:val="32"/>
          <w:szCs w:val="32"/>
        </w:rPr>
      </w:pPr>
    </w:p>
    <w:p w14:paraId="20D5571C" w14:textId="53A9E3F2" w:rsidR="0058355C" w:rsidRPr="00DC2241" w:rsidRDefault="0058355C" w:rsidP="0058355C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Fonts w:ascii="Nunito Sans" w:hAnsi="Nunito Sans" w:cs="Arial"/>
          <w:color w:val="000000" w:themeColor="text1"/>
          <w:sz w:val="32"/>
          <w:szCs w:val="32"/>
        </w:rPr>
        <w:t>Financijska vrijednost projekta je</w:t>
      </w:r>
      <w:r w:rsidRPr="00DC2241">
        <w:rPr>
          <w:rFonts w:ascii="Nunito Sans" w:hAnsi="Nunito Sans"/>
          <w:sz w:val="32"/>
          <w:szCs w:val="32"/>
        </w:rPr>
        <w:t xml:space="preserve"> 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>3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>.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999.996,25 eura, od čega je financijska vrijednost za AMPEU 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>31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>.8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>75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>,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>00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 eura. </w:t>
      </w:r>
    </w:p>
    <w:p w14:paraId="2D4FC83B" w14:textId="77777777" w:rsidR="0058355C" w:rsidRPr="00DC2241" w:rsidRDefault="0058355C" w:rsidP="0058355C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7AFE694F" w14:textId="3E8744EC" w:rsidR="00F83A7B" w:rsidRPr="00DC2241" w:rsidRDefault="0058355C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Nacionalna osoba za kontakt za ovaj projekt je 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>Ivan Makovec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, </w:t>
      </w:r>
      <w:hyperlink r:id="rId14" w:history="1">
        <w:r w:rsidR="00EA6E4D" w:rsidRPr="00DC2241">
          <w:rPr>
            <w:rStyle w:val="Hyperlink"/>
            <w:rFonts w:ascii="Nunito Sans" w:hAnsi="Nunito Sans" w:cs="Arial"/>
            <w:sz w:val="32"/>
            <w:szCs w:val="32"/>
          </w:rPr>
          <w:t>ivan</w:t>
        </w:r>
        <w:r w:rsidRPr="00DC2241">
          <w:rPr>
            <w:rStyle w:val="Hyperlink"/>
            <w:rFonts w:ascii="Nunito Sans" w:hAnsi="Nunito Sans" w:cs="Arial"/>
            <w:sz w:val="32"/>
            <w:szCs w:val="32"/>
          </w:rPr>
          <w:t>.</w:t>
        </w:r>
        <w:r w:rsidR="00EA6E4D" w:rsidRPr="00DC2241">
          <w:rPr>
            <w:rStyle w:val="Hyperlink"/>
            <w:rFonts w:ascii="Nunito Sans" w:hAnsi="Nunito Sans" w:cs="Arial"/>
            <w:sz w:val="32"/>
            <w:szCs w:val="32"/>
          </w:rPr>
          <w:t>makovec</w:t>
        </w:r>
        <w:r w:rsidRPr="00DC2241">
          <w:rPr>
            <w:rStyle w:val="Hyperlink"/>
            <w:rFonts w:ascii="Nunito Sans" w:hAnsi="Nunito Sans" w:cs="Arial"/>
            <w:sz w:val="32"/>
            <w:szCs w:val="32"/>
          </w:rPr>
          <w:t>@ampeu.hr</w:t>
        </w:r>
      </w:hyperlink>
      <w:r w:rsidRPr="00DC2241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6677D135" w14:textId="77777777" w:rsidR="00153C7C" w:rsidRPr="00DC2241" w:rsidRDefault="00153C7C" w:rsidP="00153C7C">
      <w:pPr>
        <w:rPr>
          <w:rFonts w:ascii="Nunito Sans" w:hAnsi="Nunito Sans" w:cs="Arial"/>
          <w:sz w:val="32"/>
          <w:szCs w:val="32"/>
          <w:lang w:val="hr-HR"/>
        </w:rPr>
      </w:pPr>
    </w:p>
    <w:p w14:paraId="41DA5F7C" w14:textId="19DD7919" w:rsidR="00C91B08" w:rsidRDefault="00C91B08" w:rsidP="00C91B08">
      <w:pPr>
        <w:jc w:val="center"/>
        <w:rPr>
          <w:rFonts w:ascii="Arial" w:hAnsi="Arial" w:cs="Arial"/>
          <w:lang w:val="hr-HR"/>
        </w:rPr>
      </w:pPr>
      <w:r w:rsidRPr="00C91B08">
        <w:rPr>
          <w:rFonts w:ascii="Arial" w:hAnsi="Arial" w:cs="Arial"/>
          <w:noProof/>
          <w:lang w:val="hr-HR"/>
        </w:rPr>
        <w:drawing>
          <wp:inline distT="0" distB="0" distL="0" distR="0" wp14:anchorId="607B696E" wp14:editId="05BEC66C">
            <wp:extent cx="1928027" cy="731583"/>
            <wp:effectExtent l="0" t="0" r="0" b="0"/>
            <wp:docPr id="977432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32647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027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B076" w14:textId="3F0C6719" w:rsidR="00C91B08" w:rsidRDefault="00C91B08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</w:p>
    <w:p w14:paraId="59DC07D1" w14:textId="77777777" w:rsidR="00C91B08" w:rsidRPr="0058355C" w:rsidRDefault="00C91B08" w:rsidP="00153C7C">
      <w:pPr>
        <w:rPr>
          <w:rFonts w:ascii="Arial" w:hAnsi="Arial" w:cs="Arial"/>
          <w:lang w:val="hr-HR"/>
        </w:rPr>
      </w:pPr>
    </w:p>
    <w:p w14:paraId="22AFA980" w14:textId="10FF3590" w:rsidR="00A53038" w:rsidRPr="00DC2241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Style w:val="normaltextrun"/>
          <w:rFonts w:ascii="Nunito Sans" w:eastAsia="SimSun" w:hAnsi="Nunito Sans" w:cs="Arial"/>
          <w:b/>
          <w:bCs/>
          <w:color w:val="000000" w:themeColor="text1"/>
          <w:sz w:val="32"/>
          <w:szCs w:val="32"/>
        </w:rPr>
        <w:t>NCP4HE</w:t>
      </w:r>
    </w:p>
    <w:p w14:paraId="7E49B32B" w14:textId="77777777" w:rsidR="00636F6B" w:rsidRDefault="00636F6B" w:rsidP="00A530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</w:p>
    <w:p w14:paraId="480666D2" w14:textId="44D36EAD" w:rsidR="00A53038" w:rsidRPr="00DC2241" w:rsidRDefault="00A53038" w:rsidP="00A530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</w:pPr>
      <w:r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 xml:space="preserve">Cilj projekta NCP4HE je daljnje osnaživanje znanja i vještina nacionalnih koordinatora i nacionalnih osoba za kontakt za pravna i financijska pitanja te osiguranja temelja za efikasnu tranziciju nacionalnih sustava podrške u novi okvirni program EU-a za istraživanje i inovacije. U sklopu projekta, nacionalnim osobama za kontakt bit će ponuđeni treninzi kako bi ojačale svoje kompetencije i time pružale optimalnu uslugu projektnim prijaviteljima na natječaje u okviru programa Obzor Europa kao i daljnje održavanje i unapređenje portala </w:t>
      </w:r>
      <w:r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</w:rPr>
        <w:t>NCP portal Horizon Europe</w:t>
      </w:r>
      <w:r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</w:rPr>
        <w:t>.</w:t>
      </w:r>
    </w:p>
    <w:p w14:paraId="23A5D3C2" w14:textId="77777777" w:rsidR="009C2FA1" w:rsidRDefault="009C2FA1" w:rsidP="00F921D5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46FB9A0C" w14:textId="0EF3BDAF" w:rsidR="006D26AD" w:rsidRPr="004B72C6" w:rsidRDefault="00F921D5" w:rsidP="00A53038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sz w:val="32"/>
          <w:szCs w:val="32"/>
        </w:rPr>
      </w:pPr>
      <w:r>
        <w:rPr>
          <w:rFonts w:ascii="Nunito Sans" w:hAnsi="Nunito Sans" w:cs="Arial"/>
          <w:color w:val="000000" w:themeColor="text1"/>
          <w:sz w:val="32"/>
          <w:szCs w:val="32"/>
        </w:rPr>
        <w:t xml:space="preserve">U ovom projektu sudjeluju </w:t>
      </w:r>
      <w:r w:rsidR="00993143" w:rsidRPr="004B72C6">
        <w:rPr>
          <w:rFonts w:ascii="Nunito Sans" w:hAnsi="Nunito Sans" w:cs="Arial"/>
          <w:sz w:val="32"/>
          <w:szCs w:val="32"/>
        </w:rPr>
        <w:t xml:space="preserve">nacionalne koordinatorice pri Ministarstvu znanosti, obrazovanja i mladih te </w:t>
      </w:r>
      <w:r w:rsidRPr="004B72C6">
        <w:rPr>
          <w:rFonts w:ascii="Nunito Sans" w:hAnsi="Nunito Sans" w:cs="Arial"/>
          <w:sz w:val="32"/>
          <w:szCs w:val="32"/>
        </w:rPr>
        <w:t>nacionalne osobe za kontakt koje djeluju pri Agenciji za mobilnost i programe Europske unije.</w:t>
      </w:r>
    </w:p>
    <w:p w14:paraId="7887C13B" w14:textId="7AA4DCFF" w:rsidR="00EA6E4D" w:rsidRPr="00DC2241" w:rsidRDefault="00993143" w:rsidP="00A53038">
      <w:pPr>
        <w:jc w:val="both"/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</w:pPr>
      <w:r w:rsidRPr="004B72C6">
        <w:rPr>
          <w:rStyle w:val="normaltextrun"/>
          <w:rFonts w:ascii="Nunito Sans" w:eastAsia="SimSun" w:hAnsi="Nunito Sans" w:cs="Arial"/>
          <w:sz w:val="32"/>
          <w:szCs w:val="32"/>
          <w:lang w:val="hr-HR"/>
        </w:rPr>
        <w:t xml:space="preserve">Ministarstvo znanosti, obrazovanja i mladih sudjeluje u dva radna zadatka u okviru radnog paketa 3 </w:t>
      </w:r>
      <w:r w:rsidRPr="004B72C6">
        <w:rPr>
          <w:rStyle w:val="normaltextrun"/>
          <w:rFonts w:ascii="Nunito Sans" w:eastAsia="SimSun" w:hAnsi="Nunito Sans" w:cs="Arial"/>
          <w:i/>
          <w:iCs/>
          <w:sz w:val="32"/>
          <w:szCs w:val="32"/>
          <w:lang w:val="hr-HR"/>
        </w:rPr>
        <w:t xml:space="preserve">Good practices and quality standards for National NCP systems. </w:t>
      </w:r>
      <w:r w:rsidRPr="004B72C6">
        <w:rPr>
          <w:rStyle w:val="normaltextrun"/>
          <w:rFonts w:ascii="Nunito Sans" w:eastAsia="SimSun" w:hAnsi="Nunito Sans" w:cs="Arial"/>
          <w:sz w:val="32"/>
          <w:szCs w:val="32"/>
          <w:lang w:val="hr-HR"/>
        </w:rPr>
        <w:t xml:space="preserve"> 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 xml:space="preserve">Agencija sudjeluje u projektu u dva radna zadatka u okviru radnog paketa 2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 xml:space="preserve">Legal &amp; Financial NCP Community building. 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 xml:space="preserve">Radni zadatak 2.3.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>Exchange of knowledge and experience between L&amp;F NCPs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 xml:space="preserve"> bavi se razmjenom iskustva i znanja nacionalnih osoba za kontakt pravnih i financijskih pitanja, dok će u okviru radnog zadatka 2.4.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 xml:space="preserve">Exploring the use of financial, legal and administrative rules of Horizon Europe in practice 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 xml:space="preserve">biti izrađen izvještaj o praktičnoj primjeni pravnih i financijskih pravila programa Obzor Europa. Dodatno, nacionalne osobe za kontakt sudjeluju i u radnom paketu 6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 xml:space="preserve">Preparing the transition to the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lastRenderedPageBreak/>
        <w:t xml:space="preserve">next Framework Programme, </w:t>
      </w:r>
      <w:r w:rsidR="002524D4" w:rsidRPr="002524D4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>i to</w:t>
      </w:r>
      <w:r w:rsidR="002524D4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 xml:space="preserve"> 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 xml:space="preserve">u radnom zadatku 6.3. </w:t>
      </w:r>
      <w:r w:rsidR="00A53038" w:rsidRPr="00DC2241">
        <w:rPr>
          <w:rStyle w:val="normaltextrun"/>
          <w:rFonts w:ascii="Nunito Sans" w:eastAsia="SimSun" w:hAnsi="Nunito Sans" w:cs="Arial"/>
          <w:i/>
          <w:iCs/>
          <w:color w:val="000000" w:themeColor="text1"/>
          <w:sz w:val="32"/>
          <w:szCs w:val="32"/>
          <w:lang w:val="hr-HR"/>
        </w:rPr>
        <w:t xml:space="preserve">NCP System of the future </w:t>
      </w:r>
      <w:r w:rsidR="00A53038" w:rsidRPr="00DC2241">
        <w:rPr>
          <w:rStyle w:val="normaltextrun"/>
          <w:rFonts w:ascii="Nunito Sans" w:eastAsia="SimSun" w:hAnsi="Nunito Sans" w:cs="Arial"/>
          <w:color w:val="000000" w:themeColor="text1"/>
          <w:sz w:val="32"/>
          <w:szCs w:val="32"/>
          <w:lang w:val="hr-HR"/>
        </w:rPr>
        <w:t>u okviru kojeg će biti izrađene preporuke za poboljšanje strukture nacionalnih sustava podrške u budućem okvirnom programu za istraživanje i inovacije.</w:t>
      </w:r>
    </w:p>
    <w:p w14:paraId="21E0B40B" w14:textId="77777777" w:rsidR="00EA6E4D" w:rsidRPr="00DC2241" w:rsidRDefault="00A53038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Style w:val="eop"/>
          <w:rFonts w:ascii="Nunito Sans" w:hAnsi="Nunito Sans" w:cs="Arial"/>
          <w:color w:val="000000" w:themeColor="text1"/>
          <w:sz w:val="32"/>
          <w:szCs w:val="32"/>
        </w:rPr>
        <w:t>Projekt je započeo 1. travnja 2023. godine, a planirano trajanje projekta je 60 mjeseci.</w:t>
      </w:r>
      <w:r w:rsidR="00EA6E4D"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 </w:t>
      </w:r>
    </w:p>
    <w:p w14:paraId="5FB384E3" w14:textId="77777777" w:rsidR="00EA6E4D" w:rsidRPr="00DC2241" w:rsidRDefault="00EA6E4D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516FFB93" w14:textId="12BAD770" w:rsidR="00EA6E4D" w:rsidRPr="00DC2241" w:rsidRDefault="00EA6E4D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Financijska vrijednost projekta je 3.999.999,00 eura, od čega je financijska vrijednost za </w:t>
      </w:r>
      <w:r w:rsidR="00993143">
        <w:rPr>
          <w:rFonts w:ascii="Nunito Sans" w:hAnsi="Nunito Sans" w:cs="Arial"/>
          <w:color w:val="000000" w:themeColor="text1"/>
          <w:sz w:val="32"/>
          <w:szCs w:val="32"/>
        </w:rPr>
        <w:t>MZO</w:t>
      </w:r>
      <w:r w:rsidR="006501D6">
        <w:rPr>
          <w:rFonts w:ascii="Nunito Sans" w:hAnsi="Nunito Sans" w:cs="Arial"/>
          <w:color w:val="000000" w:themeColor="text1"/>
          <w:sz w:val="32"/>
          <w:szCs w:val="32"/>
        </w:rPr>
        <w:t>M</w:t>
      </w:r>
      <w:r w:rsidR="00993143">
        <w:rPr>
          <w:rFonts w:ascii="Nunito Sans" w:hAnsi="Nunito Sans" w:cs="Arial"/>
          <w:color w:val="000000" w:themeColor="text1"/>
          <w:sz w:val="32"/>
          <w:szCs w:val="32"/>
        </w:rPr>
        <w:t xml:space="preserve"> </w:t>
      </w:r>
      <w:r w:rsidR="000D64B8" w:rsidRPr="004B72C6">
        <w:rPr>
          <w:rFonts w:ascii="Nunito Sans" w:hAnsi="Nunito Sans" w:cs="Arial"/>
          <w:sz w:val="32"/>
          <w:szCs w:val="32"/>
        </w:rPr>
        <w:t xml:space="preserve">14.440,00 eura, </w:t>
      </w:r>
      <w:r w:rsidR="000D64B8">
        <w:rPr>
          <w:rFonts w:ascii="Nunito Sans" w:hAnsi="Nunito Sans" w:cs="Arial"/>
          <w:color w:val="000000" w:themeColor="text1"/>
          <w:sz w:val="32"/>
          <w:szCs w:val="32"/>
        </w:rPr>
        <w:t xml:space="preserve">a 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AMPEU 17.625,00 eura. </w:t>
      </w:r>
    </w:p>
    <w:p w14:paraId="7ECA07F3" w14:textId="77777777" w:rsidR="00EA6E4D" w:rsidRPr="00DC2241" w:rsidRDefault="00EA6E4D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4B457920" w14:textId="2D6BFE5B" w:rsidR="00C91B08" w:rsidRPr="00DC2241" w:rsidRDefault="00C91B08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Više informacija o projektu NCP4HE nalazi se na mrežnoj stranici projekta </w:t>
      </w:r>
      <w:hyperlink r:id="rId16" w:history="1">
        <w:r w:rsidRPr="00DC2241">
          <w:rPr>
            <w:rStyle w:val="Hyperlink"/>
            <w:rFonts w:ascii="Nunito Sans" w:hAnsi="Nunito Sans" w:cs="Arial"/>
            <w:sz w:val="32"/>
            <w:szCs w:val="32"/>
          </w:rPr>
          <w:t>https://horizoneuropencpportal.eu/lf</w:t>
        </w:r>
      </w:hyperlink>
      <w:r w:rsidRPr="00DC2241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17DB8229" w14:textId="77777777" w:rsidR="00C91B08" w:rsidRPr="00DC2241" w:rsidRDefault="00C91B08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</w:p>
    <w:p w14:paraId="279FFE66" w14:textId="7799E583" w:rsidR="00EA6E4D" w:rsidRPr="00DC2241" w:rsidRDefault="00EA6E4D" w:rsidP="00EA6E4D">
      <w:pPr>
        <w:pStyle w:val="paragraph"/>
        <w:spacing w:before="0" w:beforeAutospacing="0" w:after="0" w:afterAutospacing="0"/>
        <w:jc w:val="both"/>
        <w:textAlignment w:val="baseline"/>
        <w:rPr>
          <w:rFonts w:ascii="Nunito Sans" w:hAnsi="Nunito Sans" w:cs="Arial"/>
          <w:color w:val="000000" w:themeColor="text1"/>
          <w:sz w:val="32"/>
          <w:szCs w:val="32"/>
        </w:rPr>
      </w:pP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Nacionalna osoba za kontakt za ovaj projekt </w:t>
      </w:r>
      <w:r w:rsidR="0068761C">
        <w:rPr>
          <w:rFonts w:ascii="Nunito Sans" w:hAnsi="Nunito Sans" w:cs="Arial"/>
          <w:color w:val="000000" w:themeColor="text1"/>
          <w:sz w:val="32"/>
          <w:szCs w:val="32"/>
        </w:rPr>
        <w:t xml:space="preserve">pri Agenciji za mobilnost i programe EU-a </w:t>
      </w:r>
      <w:r w:rsidRPr="00DC2241">
        <w:rPr>
          <w:rFonts w:ascii="Nunito Sans" w:hAnsi="Nunito Sans" w:cs="Arial"/>
          <w:color w:val="000000" w:themeColor="text1"/>
          <w:sz w:val="32"/>
          <w:szCs w:val="32"/>
        </w:rPr>
        <w:t xml:space="preserve">je Martina Kožul Kolarić, </w:t>
      </w:r>
      <w:hyperlink r:id="rId17" w:history="1">
        <w:r w:rsidRPr="00DC2241">
          <w:rPr>
            <w:rStyle w:val="Hyperlink"/>
            <w:rFonts w:ascii="Nunito Sans" w:hAnsi="Nunito Sans" w:cs="Arial"/>
            <w:sz w:val="32"/>
            <w:szCs w:val="32"/>
          </w:rPr>
          <w:t>martina.kozul.kolaric@ampeu.hr</w:t>
        </w:r>
      </w:hyperlink>
      <w:r w:rsidRPr="00DC2241">
        <w:rPr>
          <w:rFonts w:ascii="Nunito Sans" w:hAnsi="Nunito Sans" w:cs="Arial"/>
          <w:color w:val="000000" w:themeColor="text1"/>
          <w:sz w:val="32"/>
          <w:szCs w:val="32"/>
        </w:rPr>
        <w:t>.</w:t>
      </w:r>
    </w:p>
    <w:p w14:paraId="52D92B69" w14:textId="77777777" w:rsidR="00C91B08" w:rsidRDefault="00C91B08" w:rsidP="00A53038">
      <w:pPr>
        <w:jc w:val="both"/>
        <w:rPr>
          <w:rFonts w:ascii="Arial" w:hAnsi="Arial" w:cs="Arial"/>
          <w:color w:val="000000" w:themeColor="text1"/>
          <w:lang w:val="hr-HR"/>
        </w:rPr>
      </w:pPr>
    </w:p>
    <w:p w14:paraId="28EED07B" w14:textId="61650171" w:rsidR="00C91B08" w:rsidRPr="0058355C" w:rsidRDefault="00C91B08" w:rsidP="00C91B08">
      <w:pPr>
        <w:jc w:val="center"/>
        <w:rPr>
          <w:rFonts w:ascii="Arial" w:hAnsi="Arial" w:cs="Arial"/>
          <w:color w:val="000000" w:themeColor="text1"/>
          <w:lang w:val="hr-HR"/>
        </w:rPr>
      </w:pPr>
      <w:r w:rsidRPr="00C91B08">
        <w:rPr>
          <w:rFonts w:ascii="Arial" w:hAnsi="Arial" w:cs="Arial"/>
          <w:noProof/>
          <w:color w:val="000000" w:themeColor="text1"/>
          <w:lang w:val="hr-HR"/>
        </w:rPr>
        <w:drawing>
          <wp:inline distT="0" distB="0" distL="0" distR="0" wp14:anchorId="7AF5243D" wp14:editId="64EE3497">
            <wp:extent cx="2758679" cy="883997"/>
            <wp:effectExtent l="0" t="0" r="0" b="0"/>
            <wp:docPr id="781920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20436" name=""/>
                    <pic:cNvPicPr/>
                  </pic:nvPicPr>
                  <pic:blipFill>
                    <a:blip r:embed="rId18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7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08" w:rsidRPr="0058355C" w:rsidSect="00F8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B"/>
    <w:rsid w:val="000603E0"/>
    <w:rsid w:val="00076296"/>
    <w:rsid w:val="00082D02"/>
    <w:rsid w:val="000B164A"/>
    <w:rsid w:val="000D64B8"/>
    <w:rsid w:val="00153C7C"/>
    <w:rsid w:val="0023240D"/>
    <w:rsid w:val="002524D4"/>
    <w:rsid w:val="00483C62"/>
    <w:rsid w:val="004B72C6"/>
    <w:rsid w:val="004C71C4"/>
    <w:rsid w:val="0055693A"/>
    <w:rsid w:val="0058355C"/>
    <w:rsid w:val="00636F6B"/>
    <w:rsid w:val="006501D6"/>
    <w:rsid w:val="00685931"/>
    <w:rsid w:val="0068761C"/>
    <w:rsid w:val="006D26AD"/>
    <w:rsid w:val="00773EBB"/>
    <w:rsid w:val="00861172"/>
    <w:rsid w:val="008A0E11"/>
    <w:rsid w:val="00993143"/>
    <w:rsid w:val="009B3EE3"/>
    <w:rsid w:val="009C2FA1"/>
    <w:rsid w:val="009D6EDE"/>
    <w:rsid w:val="00A34561"/>
    <w:rsid w:val="00A36854"/>
    <w:rsid w:val="00A53038"/>
    <w:rsid w:val="00A62B6D"/>
    <w:rsid w:val="00A712EC"/>
    <w:rsid w:val="00C44CD2"/>
    <w:rsid w:val="00C91B08"/>
    <w:rsid w:val="00CA766A"/>
    <w:rsid w:val="00D42747"/>
    <w:rsid w:val="00D63806"/>
    <w:rsid w:val="00DB6B6A"/>
    <w:rsid w:val="00DC2241"/>
    <w:rsid w:val="00E748F6"/>
    <w:rsid w:val="00EA6E4D"/>
    <w:rsid w:val="00F80519"/>
    <w:rsid w:val="00F83A7B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FEB0F"/>
  <w15:chartTrackingRefBased/>
  <w15:docId w15:val="{1931B5D4-8F7A-4D93-9987-6CAEC1D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normaltextrun">
    <w:name w:val="normaltextrun"/>
    <w:basedOn w:val="DefaultParagraphFont"/>
    <w:rsid w:val="00F83A7B"/>
  </w:style>
  <w:style w:type="character" w:customStyle="1" w:styleId="eop">
    <w:name w:val="eop"/>
    <w:basedOn w:val="DefaultParagraphFont"/>
    <w:rsid w:val="00F83A7B"/>
  </w:style>
  <w:style w:type="character" w:customStyle="1" w:styleId="spellingerror">
    <w:name w:val="spellingerror"/>
    <w:basedOn w:val="DefaultParagraphFont"/>
    <w:rsid w:val="00F83A7B"/>
  </w:style>
  <w:style w:type="character" w:styleId="Hyperlink">
    <w:name w:val="Hyperlink"/>
    <w:basedOn w:val="DefaultParagraphFont"/>
    <w:uiPriority w:val="99"/>
    <w:unhideWhenUsed/>
    <w:rsid w:val="00A53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0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55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36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F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a-net.e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peu.sharepoint.com/sites/pz/Shared%20Documents/05_Svi_H2020_projekti_info_za_AMPEU/01_ALL_projects_financial_infomation/lucijano.jaksic@ampeu.hr" TargetMode="External"/><Relationship Id="rId17" Type="http://schemas.openxmlformats.org/officeDocument/2006/relationships/hyperlink" Target="mailto:martina.kozul.kolaric@ampeu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rizoneuropencpportal.eu/l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pwideranet.eu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mpeu.sharepoint.com/sites/pz/Shared%20Documents/05_Svi_H2020_projekti_info_za_AMPEU/01_ALL_projects_financial_infomation/sandra.vidovic@ampeu.hr" TargetMode="External"/><Relationship Id="rId14" Type="http://schemas.openxmlformats.org/officeDocument/2006/relationships/hyperlink" Target="https://ampeu.sharepoint.com/sites/pz/Shared%20Documents/05_Svi_H2020_projekti_info_za_AMPEU/01_ALL_projects_financial_infomation/ivan.makovec@ampe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61101E7A5C246A2755B3D309CBFB8" ma:contentTypeVersion="17" ma:contentTypeDescription="Create a new document." ma:contentTypeScope="" ma:versionID="d54ba9434857b54f6e2140a350f39f22">
  <xsd:schema xmlns:xsd="http://www.w3.org/2001/XMLSchema" xmlns:xs="http://www.w3.org/2001/XMLSchema" xmlns:p="http://schemas.microsoft.com/office/2006/metadata/properties" xmlns:ns2="09f14912-f4bc-4888-b4e1-86ba788a22c3" xmlns:ns3="1da0a812-136f-4ea9-9d0e-4cd82503c772" targetNamespace="http://schemas.microsoft.com/office/2006/metadata/properties" ma:root="true" ma:fieldsID="0d0e8eabb29b66fb4f2c9cea755b8e48" ns2:_="" ns3:_="">
    <xsd:import namespace="09f14912-f4bc-4888-b4e1-86ba788a22c3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14912-f4bc-4888-b4e1-86ba788a2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318dab-004a-4401-a6df-90be1beadead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09f14912-f4bc-4888-b4e1-86ba788a22c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5C4B5-1DAD-49D9-BCBE-13552F82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14912-f4bc-4888-b4e1-86ba788a22c3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E0F39-ACF8-4C49-9D6A-149B1EF4CB93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09f14912-f4bc-4888-b4e1-86ba788a22c3"/>
  </ds:schemaRefs>
</ds:datastoreItem>
</file>

<file path=customXml/itemProps3.xml><?xml version="1.0" encoding="utf-8"?>
<ds:datastoreItem xmlns:ds="http://schemas.openxmlformats.org/officeDocument/2006/customXml" ds:itemID="{E1C5D05A-1F35-4273-8002-E486A4FE4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E6F00-860D-44B7-BAB9-DE756BE80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1136</Words>
  <Characters>7884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Makovec</dc:creator>
  <cp:keywords/>
  <dc:description/>
  <cp:lastModifiedBy>Maja Salapić</cp:lastModifiedBy>
  <cp:revision>2</cp:revision>
  <dcterms:created xsi:type="dcterms:W3CDTF">2024-08-28T08:05:00Z</dcterms:created>
  <dcterms:modified xsi:type="dcterms:W3CDTF">2024-08-28T08:05:00Z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3829909e-1375-4c9e-9766-079bbcc1f8be</vt:lpwstr>
  </property>
  <property fmtid="{D5CDD505-2E9C-101B-9397-08002B2CF9AE}" pid="3" name="ContentTypeId">
    <vt:lpwstr>0x010100DEC61101E7A5C246A2755B3D309CBFB8</vt:lpwstr>
  </property>
  <property fmtid="{D5CDD505-2E9C-101B-9397-08002B2CF9AE}" pid="4" name="MediaServiceImageTags">
    <vt:lpwstr/>
  </property>
</Properties>
</file>